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620"/>
        <w:gridCol w:w="489"/>
        <w:gridCol w:w="816"/>
        <w:gridCol w:w="1033"/>
        <w:gridCol w:w="1033"/>
        <w:gridCol w:w="1387"/>
        <w:gridCol w:w="1180"/>
        <w:gridCol w:w="1038"/>
        <w:gridCol w:w="1227"/>
        <w:gridCol w:w="919"/>
        <w:gridCol w:w="222"/>
        <w:gridCol w:w="222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630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u w:val="single"/>
              </w:rPr>
              <w:t>银川通联资本投资运营集团有限公司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国有企业负责人2022年度薪酬情况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9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单位：人民币，万元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570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应付平均年薪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平均基本年薪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平均绩效年薪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社保、企业年金及住房公积金单位缴纳部分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其他货币性收入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是否在股东单位或其他关联方领取薪酬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在关联方领取的税前薪酬总额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660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银川通联资本投资运营集团有限公司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25.01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10.24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14.76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9.97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0.14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43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6" w:type="dxa"/>
          <w:trHeight w:val="28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1.上表披露薪酬为我公司董事、监事、高级管理人员报告期内全部应发税前薪酬（不含发放的以往年度绩效年薪）。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2.应付年薪和任期激励由 薪酬审核部门）核定。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3.任期考核未满的或未实行任期激励的不用填写201X-201X年任期激励收入。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4.应付年薪酬不包含任期激励。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5.任职未满1年按现职薪酬标准换算为年标准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VmNzRmOTAzZTc2NzgyZTViY2NkMzFlNWU0M2YifQ=="/>
  </w:docVars>
  <w:rsids>
    <w:rsidRoot w:val="65066180"/>
    <w:rsid w:val="43823E4F"/>
    <w:rsid w:val="650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2023-08-19T01:46:00Z</dcterms:created>
  <dc:creator>kimlee</dc:creator>
  <cp:lastModifiedBy>kimlee</cp:lastModifiedBy>
  <dcterms:modified xsi:type="dcterms:W3CDTF">2023-08-19T01:46:51Z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67556FF8E0CE49BD93624CDA461B7427_11</vt:lpwstr>
  </property>
</Properties>
</file>